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52"/>
          <w:shd w:fill="auto" w:val="clear"/>
        </w:rPr>
      </w:pPr>
    </w:p>
    <w:p>
      <w:pPr>
        <w:spacing w:before="0" w:after="200" w:line="276"/>
        <w:ind w:right="0" w:left="0" w:firstLine="0"/>
        <w:jc w:val="left"/>
        <w:rPr>
          <w:rFonts w:ascii="Calibri" w:hAnsi="Calibri" w:cs="Calibri" w:eastAsia="Calibri"/>
          <w:color w:val="auto"/>
          <w:spacing w:val="0"/>
          <w:position w:val="0"/>
          <w:sz w:val="52"/>
          <w:shd w:fill="auto" w:val="clear"/>
        </w:rPr>
      </w:pPr>
    </w:p>
    <w:p>
      <w:pPr>
        <w:spacing w:before="0" w:after="200" w:line="276"/>
        <w:ind w:right="0" w:left="0" w:firstLine="0"/>
        <w:jc w:val="left"/>
        <w:rPr>
          <w:rFonts w:ascii="Calibri" w:hAnsi="Calibri" w:cs="Calibri" w:eastAsia="Calibri"/>
          <w:color w:val="auto"/>
          <w:spacing w:val="0"/>
          <w:position w:val="0"/>
          <w:sz w:val="52"/>
          <w:shd w:fill="auto" w:val="clear"/>
        </w:rPr>
      </w:pPr>
      <w:r>
        <w:rPr>
          <w:rFonts w:ascii="Calibri" w:hAnsi="Calibri" w:cs="Calibri" w:eastAsia="Calibri"/>
          <w:color w:val="auto"/>
          <w:spacing w:val="0"/>
          <w:position w:val="0"/>
          <w:sz w:val="72"/>
          <w:shd w:fill="auto" w:val="clear"/>
        </w:rPr>
        <w:t xml:space="preserve">A</w:t>
      </w:r>
      <w:r>
        <w:rPr>
          <w:rFonts w:ascii="Calibri" w:hAnsi="Calibri" w:cs="Calibri" w:eastAsia="Calibri"/>
          <w:color w:val="auto"/>
          <w:spacing w:val="0"/>
          <w:position w:val="0"/>
          <w:sz w:val="52"/>
          <w:shd w:fill="auto" w:val="clear"/>
        </w:rPr>
        <w:t xml:space="preserve">SSOCIAZIONE </w:t>
      </w:r>
      <w:r>
        <w:rPr>
          <w:rFonts w:ascii="Calibri" w:hAnsi="Calibri" w:cs="Calibri" w:eastAsia="Calibri"/>
          <w:color w:val="auto"/>
          <w:spacing w:val="0"/>
          <w:position w:val="0"/>
          <w:sz w:val="72"/>
          <w:shd w:fill="auto" w:val="clear"/>
        </w:rPr>
        <w:t xml:space="preserve">N</w:t>
      </w:r>
      <w:r>
        <w:rPr>
          <w:rFonts w:ascii="Calibri" w:hAnsi="Calibri" w:cs="Calibri" w:eastAsia="Calibri"/>
          <w:color w:val="auto"/>
          <w:spacing w:val="0"/>
          <w:position w:val="0"/>
          <w:sz w:val="52"/>
          <w:shd w:fill="auto" w:val="clear"/>
        </w:rPr>
        <w:t xml:space="preserve">AZIONALE </w:t>
      </w:r>
      <w:r>
        <w:rPr>
          <w:rFonts w:ascii="Calibri" w:hAnsi="Calibri" w:cs="Calibri" w:eastAsia="Calibri"/>
          <w:color w:val="auto"/>
          <w:spacing w:val="0"/>
          <w:position w:val="0"/>
          <w:sz w:val="72"/>
          <w:shd w:fill="auto" w:val="clear"/>
        </w:rPr>
        <w:t xml:space="preserve">L</w:t>
      </w:r>
      <w:r>
        <w:rPr>
          <w:rFonts w:ascii="Calibri" w:hAnsi="Calibri" w:cs="Calibri" w:eastAsia="Calibri"/>
          <w:color w:val="auto"/>
          <w:spacing w:val="0"/>
          <w:position w:val="0"/>
          <w:sz w:val="52"/>
          <w:shd w:fill="auto" w:val="clear"/>
        </w:rPr>
        <w:t xml:space="preserve">IBERA </w:t>
      </w:r>
      <w:r>
        <w:rPr>
          <w:rFonts w:ascii="Calibri" w:hAnsi="Calibri" w:cs="Calibri" w:eastAsia="Calibri"/>
          <w:color w:val="auto"/>
          <w:spacing w:val="0"/>
          <w:position w:val="0"/>
          <w:sz w:val="72"/>
          <w:shd w:fill="auto" w:val="clear"/>
        </w:rPr>
        <w:t xml:space="preserve">C</w:t>
      </w:r>
      <w:r>
        <w:rPr>
          <w:rFonts w:ascii="Calibri" w:hAnsi="Calibri" w:cs="Calibri" w:eastAsia="Calibri"/>
          <w:color w:val="auto"/>
          <w:spacing w:val="0"/>
          <w:position w:val="0"/>
          <w:sz w:val="52"/>
          <w:shd w:fill="auto" w:val="clear"/>
        </w:rPr>
        <w:t xml:space="preserve">ACCIA</w:t>
      </w:r>
    </w:p>
    <w:p>
      <w:pPr>
        <w:spacing w:before="0" w:after="200" w:line="276"/>
        <w:ind w:right="0" w:left="0" w:firstLine="0"/>
        <w:jc w:val="center"/>
        <w:rPr>
          <w:rFonts w:ascii="Calibri" w:hAnsi="Calibri" w:cs="Calibri" w:eastAsia="Calibri"/>
          <w:color w:val="auto"/>
          <w:spacing w:val="0"/>
          <w:position w:val="0"/>
          <w:sz w:val="52"/>
          <w:shd w:fill="auto" w:val="clear"/>
        </w:rPr>
      </w:pPr>
      <w:r>
        <w:object w:dxaOrig="4334" w:dyaOrig="4367">
          <v:rect xmlns:o="urn:schemas-microsoft-com:office:office" xmlns:v="urn:schemas-microsoft-com:vml" id="rectole0000000000" style="width:216.700000pt;height:218.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52"/>
          <w:shd w:fill="auto" w:val="clear"/>
        </w:rPr>
      </w:pPr>
    </w:p>
    <w:p>
      <w:pPr>
        <w:spacing w:before="0" w:after="200" w:line="276"/>
        <w:ind w:right="0" w:left="0" w:firstLine="0"/>
        <w:jc w:val="left"/>
        <w:rPr>
          <w:rFonts w:ascii="Calibri" w:hAnsi="Calibri" w:cs="Calibri" w:eastAsia="Calibri"/>
          <w:color w:val="auto"/>
          <w:spacing w:val="0"/>
          <w:position w:val="0"/>
          <w:sz w:val="52"/>
          <w:shd w:fill="auto" w:val="clear"/>
        </w:rPr>
      </w:pPr>
    </w:p>
    <w:p>
      <w:pPr>
        <w:spacing w:before="0" w:after="200" w:line="276"/>
        <w:ind w:right="0" w:left="0" w:firstLine="0"/>
        <w:jc w:val="left"/>
        <w:rPr>
          <w:rFonts w:ascii="Calibri" w:hAnsi="Calibri" w:cs="Calibri" w:eastAsia="Calibri"/>
          <w:color w:val="auto"/>
          <w:spacing w:val="0"/>
          <w:position w:val="0"/>
          <w:sz w:val="52"/>
          <w:shd w:fill="auto" w:val="clear"/>
        </w:rPr>
      </w:pPr>
    </w:p>
    <w:p>
      <w:pPr>
        <w:spacing w:before="0" w:after="200" w:line="276"/>
        <w:ind w:right="0" w:left="0" w:firstLine="0"/>
        <w:jc w:val="center"/>
        <w:rPr>
          <w:rFonts w:ascii="Calibri" w:hAnsi="Calibri" w:cs="Calibri" w:eastAsia="Calibri"/>
          <w:color w:val="auto"/>
          <w:spacing w:val="0"/>
          <w:position w:val="0"/>
          <w:sz w:val="48"/>
          <w:shd w:fill="auto" w:val="clear"/>
        </w:rPr>
      </w:pPr>
      <w:r>
        <w:rPr>
          <w:rFonts w:ascii="Calibri" w:hAnsi="Calibri" w:cs="Calibri" w:eastAsia="Calibri"/>
          <w:color w:val="auto"/>
          <w:spacing w:val="0"/>
          <w:position w:val="0"/>
          <w:sz w:val="48"/>
          <w:shd w:fill="auto" w:val="clear"/>
        </w:rPr>
        <w:t xml:space="preserve">Regolamento interno per il servizio volontario delle Guardie Volontarie Venatorie da effettuarsi a norma delle leggi vigenti</w:t>
      </w:r>
    </w:p>
    <w:p>
      <w:pPr>
        <w:spacing w:before="0" w:after="200" w:line="276"/>
        <w:ind w:right="0" w:left="0" w:firstLine="0"/>
        <w:jc w:val="center"/>
        <w:rPr>
          <w:rFonts w:ascii="Calibri" w:hAnsi="Calibri" w:cs="Calibri" w:eastAsia="Calibri"/>
          <w:color w:val="auto"/>
          <w:spacing w:val="0"/>
          <w:position w:val="0"/>
          <w:sz w:val="48"/>
          <w:shd w:fill="auto" w:val="clear"/>
        </w:rPr>
      </w:pPr>
    </w:p>
    <w:p>
      <w:pPr>
        <w:spacing w:before="0" w:after="200" w:line="276"/>
        <w:ind w:right="0" w:left="0" w:firstLine="0"/>
        <w:jc w:val="center"/>
        <w:rPr>
          <w:rFonts w:ascii="Calibri" w:hAnsi="Calibri" w:cs="Calibri" w:eastAsia="Calibri"/>
          <w:color w:val="auto"/>
          <w:spacing w:val="0"/>
          <w:position w:val="0"/>
          <w:sz w:val="48"/>
          <w:shd w:fill="auto" w:val="clear"/>
        </w:rPr>
      </w:pPr>
    </w:p>
    <w:p>
      <w:pPr>
        <w:spacing w:before="0" w:after="200" w:line="276"/>
        <w:ind w:right="0" w:left="0" w:firstLine="0"/>
        <w:jc w:val="center"/>
        <w:rPr>
          <w:rFonts w:ascii="Calibri" w:hAnsi="Calibri" w:cs="Calibri" w:eastAsia="Calibri"/>
          <w:color w:val="auto"/>
          <w:spacing w:val="0"/>
          <w:position w:val="0"/>
          <w:sz w:val="24"/>
          <w:shd w:fill="auto" w:val="clear"/>
        </w:rPr>
      </w:pPr>
    </w:p>
    <w:p>
      <w:pPr>
        <w:spacing w:before="0" w:after="200" w:line="276"/>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Regolamento interno per il servizio volontario delle guardie particolari giurate dell’Associazione Nazionale Libera Caccia da effettuarsi a norma delle vigenti leggi</w:t>
      </w:r>
    </w:p>
    <w:p>
      <w:pPr>
        <w:spacing w:before="0" w:after="200" w:line="276"/>
        <w:ind w:right="0" w:left="0" w:firstLine="0"/>
        <w:jc w:val="center"/>
        <w:rPr>
          <w:rFonts w:ascii="Calibri" w:hAnsi="Calibri" w:cs="Calibri" w:eastAsia="Calibri"/>
          <w:color w:val="auto"/>
          <w:spacing w:val="0"/>
          <w:position w:val="0"/>
          <w:sz w:val="32"/>
          <w:shd w:fill="auto" w:val="clear"/>
        </w:rPr>
      </w:pPr>
    </w:p>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w:t>
      </w:r>
    </w:p>
    <w:p>
      <w:pPr>
        <w:spacing w:before="0" w:after="200" w:line="276"/>
        <w:ind w:right="0" w:left="0" w:firstLine="70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Il servizio di vigilanza venatoria si attua esclusivamente secondo le direttive nazionali in ossequio a quanto previsto dalle normative nazionali e regionali.</w:t>
      </w:r>
    </w:p>
    <w:p>
      <w:pPr>
        <w:spacing w:before="0" w:after="200" w:line="276"/>
        <w:ind w:right="0" w:left="0" w:firstLine="0"/>
        <w:jc w:val="both"/>
        <w:rPr>
          <w:rFonts w:ascii="Calibri" w:hAnsi="Calibri" w:cs="Calibri" w:eastAsia="Calibri"/>
          <w:color w:val="auto"/>
          <w:spacing w:val="0"/>
          <w:position w:val="0"/>
          <w:sz w:val="32"/>
          <w:shd w:fill="auto" w:val="clear"/>
        </w:rPr>
      </w:pPr>
    </w:p>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ab/>
      </w:r>
      <w:r>
        <w:rPr>
          <w:rFonts w:ascii="Calibri" w:hAnsi="Calibri" w:cs="Calibri" w:eastAsia="Calibri"/>
          <w:color w:val="auto"/>
          <w:spacing w:val="0"/>
          <w:position w:val="0"/>
          <w:sz w:val="32"/>
          <w:shd w:fill="auto" w:val="clear"/>
        </w:rPr>
        <w:t xml:space="preserve">La Vigilanza dell’Associazione Nazionale Libera Caccia è espletata da personale volontario che presta la propria opera al servizio dei cittadini e dell’Associazione, senza fini di lucro, nell’ambito Ittico, Venatorio, Ambientale, Prevenzione Incendi e Protezione Civile.</w:t>
      </w:r>
    </w:p>
    <w:p>
      <w:pPr>
        <w:spacing w:before="0" w:after="200" w:line="276"/>
        <w:ind w:right="0" w:left="0" w:firstLine="0"/>
        <w:jc w:val="both"/>
        <w:rPr>
          <w:rFonts w:ascii="Calibri" w:hAnsi="Calibri" w:cs="Calibri" w:eastAsia="Calibri"/>
          <w:color w:val="auto"/>
          <w:spacing w:val="0"/>
          <w:position w:val="0"/>
          <w:sz w:val="32"/>
          <w:shd w:fill="auto" w:val="clear"/>
        </w:rPr>
      </w:pPr>
    </w:p>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3</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ab/>
      </w:r>
      <w:r>
        <w:rPr>
          <w:rFonts w:ascii="Calibri" w:hAnsi="Calibri" w:cs="Calibri" w:eastAsia="Calibri"/>
          <w:color w:val="auto"/>
          <w:spacing w:val="0"/>
          <w:position w:val="0"/>
          <w:sz w:val="32"/>
          <w:shd w:fill="auto" w:val="clear"/>
        </w:rPr>
        <w:t xml:space="preserve">Il settore della vigilanza venatoria volontaria dipende dal Responsabile Nazionale per la Vigilanza nominato dal Presidente Nazionale dell’Associazione ogni quattro anni in ossequio a quanto previsto dal nuovo Statuto dell’Associazione Nazionale Libera Caccia.</w:t>
      </w:r>
    </w:p>
    <w:p>
      <w:pPr>
        <w:spacing w:before="0" w:after="200" w:line="276"/>
        <w:ind w:right="0" w:left="0" w:firstLine="0"/>
        <w:jc w:val="both"/>
        <w:rPr>
          <w:rFonts w:ascii="Calibri" w:hAnsi="Calibri" w:cs="Calibri" w:eastAsia="Calibri"/>
          <w:color w:val="auto"/>
          <w:spacing w:val="0"/>
          <w:position w:val="0"/>
          <w:sz w:val="32"/>
          <w:shd w:fill="auto" w:val="clear"/>
        </w:rPr>
      </w:pPr>
    </w:p>
    <w:p>
      <w:pPr>
        <w:spacing w:before="0" w:after="20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4</w:t>
      </w:r>
    </w:p>
    <w:p>
      <w:pPr>
        <w:spacing w:before="0" w:after="200" w:line="276"/>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ab/>
      </w:r>
      <w:r>
        <w:rPr>
          <w:rFonts w:ascii="Calibri" w:hAnsi="Calibri" w:cs="Calibri" w:eastAsia="Calibri"/>
          <w:color w:val="auto"/>
          <w:spacing w:val="0"/>
          <w:position w:val="0"/>
          <w:sz w:val="32"/>
          <w:shd w:fill="auto" w:val="clear"/>
        </w:rPr>
        <w:t xml:space="preserve">Il Responsabile Nazionale per la Vigilanza organizza il settore lo coordina e decentra le proprie funzioni attraverso i seguenti soggetti:</w:t>
      </w:r>
    </w:p>
    <w:p>
      <w:pPr>
        <w:numPr>
          <w:ilvl w:val="0"/>
          <w:numId w:val="13"/>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Presidenti Regionali;</w:t>
      </w:r>
    </w:p>
    <w:p>
      <w:pPr>
        <w:numPr>
          <w:ilvl w:val="0"/>
          <w:numId w:val="13"/>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eventuali Delegati Regionali per la Vigilanza nominati dai Presidenti Regionali.</w:t>
      </w:r>
    </w:p>
    <w:p>
      <w:pPr>
        <w:spacing w:before="0" w:after="200" w:line="276"/>
        <w:ind w:right="0" w:left="360" w:firstLine="0"/>
        <w:jc w:val="both"/>
        <w:rPr>
          <w:rFonts w:ascii="Calibri" w:hAnsi="Calibri" w:cs="Calibri" w:eastAsia="Calibri"/>
          <w:color w:val="auto"/>
          <w:spacing w:val="0"/>
          <w:position w:val="0"/>
          <w:sz w:val="32"/>
          <w:shd w:fill="auto" w:val="clear"/>
        </w:rPr>
      </w:pPr>
    </w:p>
    <w:p>
      <w:pPr>
        <w:spacing w:before="0" w:after="200" w:line="276"/>
        <w:ind w:right="0" w:left="36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5</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Il Presidente Regionale o l’eventuale Delegato Regionale per la Vigilanza, se nominato dal Presidente Regionale, coordina l’azione svolta dalle Sedi Provinciali.</w:t>
      </w:r>
    </w:p>
    <w:p>
      <w:pPr>
        <w:spacing w:before="0" w:after="200" w:line="276"/>
        <w:ind w:right="0" w:left="360" w:firstLine="0"/>
        <w:jc w:val="both"/>
        <w:rPr>
          <w:rFonts w:ascii="Calibri" w:hAnsi="Calibri" w:cs="Calibri" w:eastAsia="Calibri"/>
          <w:color w:val="auto"/>
          <w:spacing w:val="0"/>
          <w:position w:val="0"/>
          <w:sz w:val="32"/>
          <w:shd w:fill="auto" w:val="clear"/>
        </w:rPr>
      </w:pPr>
    </w:p>
    <w:p>
      <w:pPr>
        <w:spacing w:before="0" w:after="200" w:line="276"/>
        <w:ind w:right="0" w:left="36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6</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Il Presidente Provinciale è il responsabile operativo della Vigilanza nell’ambito della propria giurisdizione e di concerto con il Presidente Regionale o l’eventuale Delegato Regionale per la Vigilanza sovraintende l’attività delle Guardie Volontarie Venatorie.</w:t>
      </w:r>
    </w:p>
    <w:p>
      <w:pPr>
        <w:spacing w:before="0" w:after="200" w:line="276"/>
        <w:ind w:right="0" w:left="360" w:firstLine="348"/>
        <w:jc w:val="both"/>
        <w:rPr>
          <w:rFonts w:ascii="Calibri" w:hAnsi="Calibri" w:cs="Calibri" w:eastAsia="Calibri"/>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7</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Il servizio di vigilanza espletato dalle Guardie Volontarie  dell’Associazione Nazionale Libera Caccia viene effettuato volontariamente e, pertanto non dà diritto ad alcun compenso che non sia solo riconoscimento morale. Le spese relative al conseguimento del decreto di nomina o al rinnovo annuale, al porto d’arma, alla divisa ed altre spese vive (carburante, autostrada, ripristino mezzo di trasporto ecc.) sono a carico delle Guardie Volontarie. Nell’eventualità che l’Ente Pubblico eroghi contributi finalizzati per la vigilanza, il Presidente Regionale o il Delegato Regionale per la Vigilanza ovvero il Presidente Provinciale ognuno per la propria competenza provvederà a vigilare sul rispetto di quanto previsto dal provvedimento di concessione del contributo statale avendo facoltà di segnalare ogni violazione agli enti preposti nonché al Responsabile Nazionale per la Vigilanza per gli opportuni provvedimenti.</w:t>
      </w:r>
    </w:p>
    <w:p>
      <w:pPr>
        <w:spacing w:before="0" w:after="200" w:line="276"/>
        <w:ind w:right="0" w:left="360" w:firstLine="348"/>
        <w:jc w:val="both"/>
        <w:rPr>
          <w:rFonts w:ascii="Calibri" w:hAnsi="Calibri" w:cs="Calibri" w:eastAsia="Calibri"/>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8</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La Guardia Volontaria dell’Associazione Nazionale Libera Caccia potrà operare dopo aver prestato giuramento dinanzi all’autorità competente e dopo aver ricevuto il tesserino.</w:t>
      </w:r>
    </w:p>
    <w:p>
      <w:pPr>
        <w:spacing w:before="0" w:after="200" w:line="276"/>
        <w:ind w:right="0" w:left="360" w:firstLine="348"/>
        <w:jc w:val="both"/>
        <w:rPr>
          <w:rFonts w:ascii="Calibri" w:hAnsi="Calibri" w:cs="Calibri" w:eastAsia="Calibri"/>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9</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 seguito di nuova nomina di una Guardia Volontaria dell’ Associazione Nazionale Libera Caccia, il Presidente Regionale competente o il Delegato Regionale per la Vigilanza competente, se nominato, dovranno comunicare alla sede nazionale i dati personali della nuova Guardia Volontaria nonché il numero del tesserino al fine di consentire l’ aggiornamento della banca dati nazionale sulla vigilanza.</w:t>
      </w:r>
    </w:p>
    <w:p>
      <w:pPr>
        <w:spacing w:before="0" w:after="200" w:line="276"/>
        <w:ind w:right="0" w:left="360" w:firstLine="348"/>
        <w:jc w:val="both"/>
        <w:rPr>
          <w:rFonts w:ascii="Calibri" w:hAnsi="Calibri" w:cs="Calibri" w:eastAsia="Calibri"/>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10</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Le aspiranti Guardie Volontarie Venatorie dell’Associazione Nazionale Libera Caccia oltre a dover possedere requisiti morali irreprensibili e a non avere riportato condanne penali, devono essere soci dell’Associazione Nazionale Libera Caccia. Tale presupposto è indispensabile anche per il rinnovo del tesserino. In caso di violazione del presente precetto il Presidente Regionale o il Delegato Regionale ovvero il Presidente Provinciale potranno intervenire autonomamente o segnalare la presunta violazione al Responsabile Nazionale per la Vigilanza per i provvedimenti del caso. </w:t>
      </w:r>
    </w:p>
    <w:p>
      <w:pPr>
        <w:spacing w:before="0" w:after="200" w:line="276"/>
        <w:ind w:right="0" w:left="360" w:firstLine="348"/>
        <w:jc w:val="both"/>
        <w:rPr>
          <w:rFonts w:ascii="Calibri" w:hAnsi="Calibri" w:cs="Calibri" w:eastAsia="Calibri"/>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11</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Tutte le aspiranti Guardie Volontarie dell’Associazione Nazionale Libera Caccia dopo aver frequentato il corso di formazione devono sostenere una prova d’esame tecnico – pratica che dimostri la effettiva conoscenza delle materie di propria competenza. Le principali materie oggetto dei corsi saranno le seguenti:</w:t>
      </w:r>
    </w:p>
    <w:p>
      <w:pPr>
        <w:numPr>
          <w:ilvl w:val="0"/>
          <w:numId w:val="30"/>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Legislazione venatoria, ittica, ambientale;</w:t>
      </w:r>
    </w:p>
    <w:p>
      <w:pPr>
        <w:numPr>
          <w:ilvl w:val="0"/>
          <w:numId w:val="30"/>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Zoologia applicata alla caccia;</w:t>
      </w:r>
    </w:p>
    <w:p>
      <w:pPr>
        <w:numPr>
          <w:ilvl w:val="0"/>
          <w:numId w:val="30"/>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Botanica;</w:t>
      </w:r>
    </w:p>
    <w:p>
      <w:pPr>
        <w:numPr>
          <w:ilvl w:val="0"/>
          <w:numId w:val="30"/>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Tutela della natura e dell’ambiente;</w:t>
      </w:r>
    </w:p>
    <w:p>
      <w:pPr>
        <w:numPr>
          <w:ilvl w:val="0"/>
          <w:numId w:val="30"/>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Guida ai parchi naturali, aree protette ed aree di interesse naturalistico;</w:t>
      </w:r>
    </w:p>
    <w:p>
      <w:pPr>
        <w:numPr>
          <w:ilvl w:val="0"/>
          <w:numId w:val="30"/>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Principi generali delle colture agricole;</w:t>
      </w:r>
    </w:p>
    <w:p>
      <w:pPr>
        <w:numPr>
          <w:ilvl w:val="0"/>
          <w:numId w:val="30"/>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Legislazione delle armi e munizioni;</w:t>
      </w:r>
    </w:p>
    <w:p>
      <w:pPr>
        <w:numPr>
          <w:ilvl w:val="0"/>
          <w:numId w:val="30"/>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Protezione Civile.</w:t>
      </w: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(Il presente elenco è puramente indicativo)</w:t>
      </w:r>
    </w:p>
    <w:p>
      <w:pPr>
        <w:spacing w:before="0" w:after="200" w:line="276"/>
        <w:ind w:right="0" w:left="360" w:firstLine="348"/>
        <w:jc w:val="both"/>
        <w:rPr>
          <w:rFonts w:ascii="Calibri" w:hAnsi="Calibri" w:cs="Calibri" w:eastAsia="Calibri"/>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12</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La nomina a Guardia Volontaria dell’Associazione Nazionale Libera Caccia, essendo concessa a titolo onorifico con azione esclusivamente volontaria, comporta obblighi che il normale associato non ha. La Guardia Volontaria non gode di agevolazioni, ma deve assolvere a doveri, deve prestare la propria opera per la vigilanza del territorio, nonché per l’osservanza delle norme in materia venatoria, ittica, ambientale, prevenzione incendi e protezione civile.</w:t>
      </w:r>
    </w:p>
    <w:p>
      <w:pPr>
        <w:spacing w:before="0" w:after="200" w:line="276"/>
        <w:ind w:right="0" w:left="360" w:firstLine="348"/>
        <w:jc w:val="both"/>
        <w:rPr>
          <w:rFonts w:ascii="Calibri" w:hAnsi="Calibri" w:cs="Calibri" w:eastAsia="Calibri"/>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13</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Tutte le Guardie Volontarie dell’Associazione Nazionale Libera Caccia hanno il dovere di aggiornarsi costantemente frequentando corsi di preparazione, aggiornamento e di formazione patrocinati dall’Associazione o dagli Enti Locali al fine di arricchire le proprie conoscenze sulle materie specifiche di propria competenza. Nel caso di impossibilità a frequentare i predetti corsi è comunque dovere morale delle Guardie Volontarie aggiornarsi autonomamente e costantemente mediante lo studio delle continue modifiche normative e giurisprudenziali in materia di legislazione venatoria, ambientale e altre materie  di propria competenza.</w:t>
      </w:r>
    </w:p>
    <w:p>
      <w:pPr>
        <w:spacing w:before="0" w:after="200" w:line="276"/>
        <w:ind w:right="0" w:left="360" w:firstLine="348"/>
        <w:jc w:val="center"/>
        <w:rPr>
          <w:rFonts w:ascii="Calibri" w:hAnsi="Calibri" w:cs="Calibri" w:eastAsia="Calibri"/>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14</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 fatto assoluto divieto a tutte le Guardie Volontarie dell’Associazione Nazionale Libera Caccia di assumere atteggiamenti autonomi che possano nuocere all’Associazione o prendere decisioni che contrastino con le disposizioni previste dall’Associazione. Per ogni caso particolare non contemplato dal presente regolamento dovrà essere interpellato in prima istanza il Presidente Regionale o il Delegato Regionale e successivamente il Responsabile Nazionale per la Vigilanza per l’applicazione di eventuali sanzioni. </w:t>
      </w:r>
    </w:p>
    <w:p>
      <w:pPr>
        <w:spacing w:before="0" w:after="200" w:line="276"/>
        <w:ind w:right="0" w:left="360" w:firstLine="348"/>
        <w:jc w:val="both"/>
        <w:rPr>
          <w:rFonts w:ascii="Calibri" w:hAnsi="Calibri" w:cs="Calibri" w:eastAsia="Calibri"/>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15</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Le Guardie Volontarie dell’Associazione Nazionale Libera Caccia devono sempre mantenere un contegno corretto ed in qualunque momento un comportamento civile irreprensibile. La Guardia Volontaria che non ottempera a tale regola di condotta potrà essere segnalato alle Autorità competenti per la sospensione, oppure per il ritiro definitivo del decreto di nomina. Si precisa inoltre che la Guardia Volontaria che non si atterrà a quanto prescritto dal presente Regolamento o abuserà della propria qualifica, oltre alle eventuali sanzioni previste dalla normativa di P.S., è soggetta alla perdita del titolo di Socio ed alla richiesta della revoca del decreto.</w:t>
      </w:r>
    </w:p>
    <w:p>
      <w:pPr>
        <w:spacing w:before="0" w:after="200" w:line="276"/>
        <w:ind w:right="0" w:left="360" w:firstLine="348"/>
        <w:jc w:val="both"/>
        <w:rPr>
          <w:rFonts w:ascii="Calibri" w:hAnsi="Calibri" w:cs="Calibri" w:eastAsia="Calibri"/>
          <w:color w:val="auto"/>
          <w:spacing w:val="0"/>
          <w:position w:val="0"/>
          <w:sz w:val="32"/>
          <w:shd w:fill="auto" w:val="clear"/>
        </w:rPr>
      </w:pPr>
    </w:p>
    <w:p>
      <w:pPr>
        <w:spacing w:before="0" w:after="200" w:line="276"/>
        <w:ind w:right="0" w:left="360" w:firstLine="348"/>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16</w:t>
      </w:r>
    </w:p>
    <w:p>
      <w:pPr>
        <w:spacing w:before="0" w:after="200" w:line="276"/>
        <w:ind w:right="0" w:left="360" w:firstLine="348"/>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 provvedimenti disciplinari adottati a carico delle Guardie Volontarie dell’Associazione Nazionale Libera Caccia sono i seguenti:</w:t>
      </w:r>
    </w:p>
    <w:p>
      <w:pPr>
        <w:numPr>
          <w:ilvl w:val="0"/>
          <w:numId w:val="43"/>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Richiamo verbale</w:t>
      </w:r>
    </w:p>
    <w:p>
      <w:pPr>
        <w:numPr>
          <w:ilvl w:val="0"/>
          <w:numId w:val="43"/>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Richiamo scritto</w:t>
      </w:r>
    </w:p>
    <w:p>
      <w:pPr>
        <w:numPr>
          <w:ilvl w:val="0"/>
          <w:numId w:val="43"/>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Sospensione a tempo determinato</w:t>
      </w:r>
    </w:p>
    <w:p>
      <w:pPr>
        <w:numPr>
          <w:ilvl w:val="0"/>
          <w:numId w:val="43"/>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Espulsione dalla vigilanza.</w:t>
      </w: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Tutti i provvedimenti disciplinari a carico delle Guardie Volontarie sono proposti dal Presidente Regionale o dal Delegato Regionale per la Vigilanza, ma comminati dal Responsabile Nazionale per la Vigilanza. I provvedimenti disciplinari a carico dei Delegati Regionali saranno adottati dal Responsabile Nazionale per la Vigilanza. </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17</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696"/>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L’eventuale divisa delle Guardie Volontarie dell’Associazione Nazionale Libera Caccia deve essere identica a quella approvata dalle autorità competenti, con il divieto assoluto di togliere od aggiungere alcun particolare a detta uniforme.</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18</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696"/>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Le Guardie Volontarie munite di divisa, possono indossarla esclusivamente quando prestano servizio di vigilanza ed, in particolare occasioni di rappresentanza se autorizzati.</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19</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t xml:space="preserve">Tutte le Guardie Volontarie Venatorie dell’Associazione Nazionale Libera Caccia hanno sempre ed in ogni caso l’obbligo di qualificarsi immediatamente mostrando il proprio tesserino e/o il proprio decreto, chiedendo successivamente, con garbo, i documenti da controllare.</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20</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ab/>
      </w:r>
      <w:r>
        <w:rPr>
          <w:rFonts w:ascii="Calibri" w:hAnsi="Calibri" w:cs="Calibri" w:eastAsia="Calibri"/>
          <w:color w:val="auto"/>
          <w:spacing w:val="0"/>
          <w:position w:val="0"/>
          <w:sz w:val="32"/>
          <w:shd w:fill="auto" w:val="clear"/>
        </w:rPr>
        <w:t xml:space="preserve">L’azione di ogni Guardia Volontaria dell’Associazione Nazionale Libera Caccia ha scopi prevalentemente di prevenzione, pertanto il servizio non dovrà assumere forme repressive salvo nei casi in cui sia evidente l’intenzionalità di chi commette infrazioni alle Leggi in materia venatorie ed ambientale. E’ opportuno e doveroso non eccedere mai i poteri che la legge prescrive alla Guardie Volontarie al fine di non incorrere in condotte illegittime.</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21</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t xml:space="preserve">Il servizio di Vigilanza diurno delle Guardie Volontarie dell’Associazione Nazionale Libera Caccia deve essere effettuato in coppia e quello notturno con un numero minimo di tre. I servizi potranno essere effettuati in collaborazione con gli Agenti degli Enti delegati o con le guardie volontarie di altre associazioni.</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22</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ab/>
      </w:r>
      <w:r>
        <w:rPr>
          <w:rFonts w:ascii="Calibri" w:hAnsi="Calibri" w:cs="Calibri" w:eastAsia="Calibri"/>
          <w:color w:val="auto"/>
          <w:spacing w:val="0"/>
          <w:position w:val="0"/>
          <w:sz w:val="32"/>
          <w:shd w:fill="auto" w:val="clear"/>
        </w:rPr>
        <w:t xml:space="preserve">Tutte le Guardie Volontarie dell’Associazione Nazionale Libera Caccia, oltre alla collaborazione con le Forze dell’Ordine, hanno il dovere di assistere e soccorrere, con tutti i mezzi consentiti, i cittadini bisognosi d’aiuto, feriti o infortunati in qualsiasi circostanza.</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23</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ab/>
      </w:r>
      <w:r>
        <w:rPr>
          <w:rFonts w:ascii="Calibri" w:hAnsi="Calibri" w:cs="Calibri" w:eastAsia="Calibri"/>
          <w:color w:val="auto"/>
          <w:spacing w:val="0"/>
          <w:position w:val="0"/>
          <w:sz w:val="32"/>
          <w:shd w:fill="auto" w:val="clear"/>
        </w:rPr>
        <w:t xml:space="preserve">Le Guardie Volontarie dell’Associazione Nazionale Libera Caccia che si trovano ad essere spettatori di reati estranei alle leggi di loro competenza, hanno l’obbligo di informare immediatamente le Autorità costituite (Carabinieri, Polizia, Guardia di Finanza, ecc.) e fornire tutti gli elementi di cui sono in possesso, evitando tuttavia nel modo più assoluto, di assumere iniziative personali.</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24</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t xml:space="preserve">Le Guardie Volontarie dell’Associazione Nazionale Libera Caccia alla fine di ogni servizio di vigilanza devono compilare la relazione di servizio e consegnarla agli organi competenti. I verbali per infrazioni alle leggi di loro competenza devono essere compilati con estrema cura ed attenzione riportando le eventuali dichiarazioni del verbalizzato e  trasmessi agli organi competenti per gli eventuali provvedimenti.</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25</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t xml:space="preserve">Le Guardie Volontarie dell’Associazione Nazionale Libera Caccia possono dare assistenza e collaborazione per manifestazioni (regolarmente autorizzate) sportive, culturali e/o di beneficenza ad Enti locali (Regione, Province, Comuni, Città Metropolitane, Comunità Montane, Enti o Associazioni legalmente riconosciute, ecc.) o Autorità costituite (Carabinieri, Polizia di Stato, ecc.) che ne facciano regolare e motivata richiesta scritta. Si precisa che la richiesta degli Enti o delle Associazioni deve essere autorizzata dal Comune dove si svolge la manifestazione.</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26</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696"/>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La vigilanza dell’Associazione Nazionale Libera Caccia, nell’ambito delle proprie funzione, cercherà di istaurare rapporti di effettiva collaborazione con gli Agenti degli enti delegati e con le Guardie Volontarie di altre associazioni: ciò al fine di ottenere un servizio di vigilanza coordinato ed efficiente in tutto il territorio di propria competenza.</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27</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ab/>
      </w:r>
      <w:r>
        <w:rPr>
          <w:rFonts w:ascii="Calibri" w:hAnsi="Calibri" w:cs="Calibri" w:eastAsia="Calibri"/>
          <w:color w:val="auto"/>
          <w:spacing w:val="0"/>
          <w:position w:val="0"/>
          <w:sz w:val="32"/>
          <w:shd w:fill="auto" w:val="clear"/>
        </w:rPr>
        <w:t xml:space="preserve">Per la organizzazione interna della Vigilanza si possono assegnare gradi di responsabilità che non modificheranno lo stato giuridico di Guardia Volontaria.</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28</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696"/>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La Guardia Volontaria che per qualsiasi motivo, interrompe il rapporto di volontariato della vigilanza deve riconsegnare tutto il materiale ricevuto in dotazione, compreso quello acquistato se identifica la vigilanza dell’Associazione Nazionale Libera Caccia.</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29</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t xml:space="preserve">La Vigilanza dell’Associazione Nazionale Libera Caccia ha le seguenti principali finalità:</w:t>
      </w:r>
    </w:p>
    <w:p>
      <w:pPr>
        <w:numPr>
          <w:ilvl w:val="0"/>
          <w:numId w:val="77"/>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divulgare e far rispettare le leggi dello Stato, delle Regioni, le delibere delle Province e delle Città Metropolitane in ambito venatorio ed ambientale;</w:t>
      </w:r>
    </w:p>
    <w:p>
      <w:pPr>
        <w:numPr>
          <w:ilvl w:val="0"/>
          <w:numId w:val="77"/>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aiutare e soccorrere chiunque ne abbia bisogno;</w:t>
      </w:r>
    </w:p>
    <w:p>
      <w:pPr>
        <w:numPr>
          <w:ilvl w:val="0"/>
          <w:numId w:val="77"/>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insegnare a rispettare la natura e l’ambiente in ogni sua forma ed espressione;</w:t>
      </w:r>
    </w:p>
    <w:p>
      <w:pPr>
        <w:numPr>
          <w:ilvl w:val="0"/>
          <w:numId w:val="77"/>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essere al servizio della Comunità;</w:t>
      </w:r>
    </w:p>
    <w:p>
      <w:pPr>
        <w:numPr>
          <w:ilvl w:val="0"/>
          <w:numId w:val="77"/>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controllare le attività dirette ed indirette che incidono negativamente sull’ambiente;</w:t>
      </w:r>
    </w:p>
    <w:p>
      <w:pPr>
        <w:numPr>
          <w:ilvl w:val="0"/>
          <w:numId w:val="77"/>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controllare il Territorio, la Flora e la Fauna;</w:t>
      </w:r>
    </w:p>
    <w:p>
      <w:pPr>
        <w:numPr>
          <w:ilvl w:val="0"/>
          <w:numId w:val="77"/>
        </w:numPr>
        <w:spacing w:before="0" w:after="200" w:line="276"/>
        <w:ind w:right="0" w:left="720" w:hanging="36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 xml:space="preserve">prevenire condotte illegittime contro la natura in generale.</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30</w:t>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ab/>
      </w:r>
      <w:r>
        <w:rPr>
          <w:rFonts w:ascii="Calibri" w:hAnsi="Calibri" w:cs="Calibri" w:eastAsia="Calibri"/>
          <w:color w:val="auto"/>
          <w:spacing w:val="0"/>
          <w:position w:val="0"/>
          <w:sz w:val="32"/>
          <w:shd w:fill="auto" w:val="clear"/>
        </w:rPr>
        <w:t xml:space="preserve">Tutte le Guardie Volontarie già riconosciute alla data dell’entrata in vigore del presente Regolamento e quelle che verranno istituite dovranno obbligatoriamente attenersi scrupolosamente al presente testo ed a tutte le norme ivi riportate. Le Guardie Volontarie dell’Associazione Nazionale Libera Caccia che non accettano le norme contenute nel presente Regolamento o che non ritengono di poter eseguire il servizio di vigilanza nello spirito delle predette regole possono darne immediata comunicazione agli organi competenti per il ritiro del Decreto di nomina.</w:t>
      </w: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both"/>
        <w:rPr>
          <w:rFonts w:ascii="Calibri" w:hAnsi="Calibri" w:cs="Calibri" w:eastAsia="Calibri"/>
          <w:color w:val="auto"/>
          <w:spacing w:val="0"/>
          <w:position w:val="0"/>
          <w:sz w:val="32"/>
          <w:shd w:fill="auto" w:val="clear"/>
        </w:rPr>
      </w:pPr>
    </w:p>
    <w:p>
      <w:pPr>
        <w:spacing w:before="0" w:after="200" w:line="276"/>
        <w:ind w:right="0" w:left="72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art. 31</w:t>
      </w:r>
    </w:p>
    <w:p>
      <w:pPr>
        <w:spacing w:before="0" w:after="200" w:line="276"/>
        <w:ind w:right="0" w:left="720" w:firstLine="0"/>
        <w:jc w:val="center"/>
        <w:rPr>
          <w:rFonts w:ascii="Calibri" w:hAnsi="Calibri" w:cs="Calibri" w:eastAsia="Calibri"/>
          <w:color w:val="auto"/>
          <w:spacing w:val="0"/>
          <w:position w:val="0"/>
          <w:sz w:val="32"/>
          <w:shd w:fill="auto" w:val="clear"/>
        </w:rPr>
      </w:pPr>
    </w:p>
    <w:p>
      <w:pPr>
        <w:spacing w:before="0" w:after="200" w:line="276"/>
        <w:ind w:right="0" w:left="720" w:firstLine="0"/>
        <w:jc w:val="both"/>
        <w:rPr>
          <w:rFonts w:ascii="Calibri" w:hAnsi="Calibri" w:cs="Calibri" w:eastAsia="Calibri"/>
          <w:b/>
          <w:color w:val="auto"/>
          <w:spacing w:val="0"/>
          <w:position w:val="0"/>
          <w:sz w:val="32"/>
          <w:shd w:fill="auto" w:val="clear"/>
        </w:rPr>
      </w:pPr>
      <w:r>
        <w:rPr>
          <w:rFonts w:ascii="Calibri" w:hAnsi="Calibri" w:cs="Calibri" w:eastAsia="Calibri"/>
          <w:color w:val="auto"/>
          <w:spacing w:val="0"/>
          <w:position w:val="0"/>
          <w:sz w:val="32"/>
          <w:shd w:fill="auto" w:val="clear"/>
        </w:rPr>
        <w:tab/>
        <w:t xml:space="preserve">Il presente Regolamento, che sostituisce e abroga il precedente Regolamento del 4 luglio 1998,  entra immediatamente in vigore pertanto, da tale data tutte le Guardie Volontarie dell’Associazione Nazionale Libera Caccia hanno l’obbligo di attenersi scrupolosamente alle disposizioni in esso contenute.</w:t>
      </w:r>
    </w:p>
    <w:p>
      <w:pPr>
        <w:spacing w:before="0" w:after="200" w:line="276"/>
        <w:ind w:right="0" w:left="720" w:firstLine="0"/>
        <w:jc w:val="both"/>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32"/>
          <w:shd w:fill="auto" w:val="clear"/>
        </w:rPr>
        <w:tab/>
      </w:r>
    </w:p>
    <w:p>
      <w:pPr>
        <w:spacing w:before="0" w:after="200" w:line="276"/>
        <w:ind w:right="0" w:left="720" w:firstLine="0"/>
        <w:jc w:val="center"/>
        <w:rPr>
          <w:rFonts w:ascii="Calibri" w:hAnsi="Calibri" w:cs="Calibri" w:eastAsia="Calibri"/>
          <w:b/>
          <w:color w:val="auto"/>
          <w:spacing w:val="0"/>
          <w:position w:val="0"/>
          <w:sz w:val="32"/>
          <w:shd w:fill="auto" w:val="clear"/>
        </w:rPr>
      </w:pPr>
    </w:p>
    <w:p>
      <w:pPr>
        <w:spacing w:before="0" w:after="200" w:line="276"/>
        <w:ind w:right="0" w:left="72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Roma, 3 settembre 2018</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3">
    <w:abstractNumId w:val="18"/>
  </w:num>
  <w:num w:numId="30">
    <w:abstractNumId w:val="12"/>
  </w:num>
  <w:num w:numId="43">
    <w:abstractNumId w:val="6"/>
  </w:num>
  <w:num w:numId="7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